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1C" w:rsidRPr="0049171C" w:rsidRDefault="0049171C" w:rsidP="0049171C">
      <w:pPr>
        <w:tabs>
          <w:tab w:val="left" w:pos="2948"/>
        </w:tabs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9171C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Profile&amp;_ThongTinCongBo_WAR_ThongTinCongBoportlet_INSTANCE_aO8s_code=CTN" </w:instrText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br/>
        <w:t xml:space="preserve">CTN: </w:t>
      </w:r>
      <w:hyperlink r:id="rId5" w:tooltip="Explanation for the difference in the profit after tax of Quarter IV.2015 year on year" w:history="1">
        <w:r w:rsidRPr="0049171C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 xml:space="preserve">Explanation for the difference in the </w:t>
        </w:r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 xml:space="preserve">consolidated </w:t>
        </w:r>
        <w:r w:rsidRPr="0049171C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 xml:space="preserve">profit after tax of Quarter IV.2015 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year on year</w:t>
      </w:r>
    </w:p>
    <w:p w:rsidR="0049171C" w:rsidRDefault="0049171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On 03/03/2016, </w:t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t>Underground Works Construction JSC</w:t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tooltip="Explanation for the difference in the profit after tax of Quarter IV.2015 year on year" w:history="1">
        <w:r w:rsidR="00AC4C02">
          <w:rPr>
            <w:rFonts w:ascii="Arial" w:eastAsia="Times New Roman" w:hAnsi="Arial" w:cs="Arial"/>
            <w:color w:val="000000"/>
            <w:sz w:val="20"/>
            <w:szCs w:val="20"/>
          </w:rPr>
          <w:t>explained</w:t>
        </w:r>
        <w:r w:rsidRPr="0049171C">
          <w:rPr>
            <w:rFonts w:ascii="Arial" w:eastAsia="Times New Roman" w:hAnsi="Arial" w:cs="Arial"/>
            <w:color w:val="000000"/>
            <w:sz w:val="20"/>
            <w:szCs w:val="20"/>
          </w:rPr>
          <w:t xml:space="preserve"> difference in the consolidated profit after tax of Quarter IV.2015 </w:t>
        </w:r>
      </w:hyperlink>
      <w:r w:rsidRPr="0049171C">
        <w:rPr>
          <w:rFonts w:ascii="Arial" w:eastAsia="Times New Roman" w:hAnsi="Arial" w:cs="Arial"/>
          <w:color w:val="000000"/>
          <w:sz w:val="20"/>
          <w:szCs w:val="20"/>
        </w:rPr>
        <w:t>year on year</w:t>
      </w:r>
      <w:r>
        <w:rPr>
          <w:rFonts w:ascii="Arial" w:eastAsia="Times New Roman" w:hAnsi="Arial" w:cs="Arial"/>
          <w:color w:val="000000"/>
          <w:sz w:val="20"/>
          <w:szCs w:val="20"/>
        </w:rPr>
        <w:t>, as follows:</w:t>
      </w:r>
    </w:p>
    <w:p w:rsidR="0049171C" w:rsidRDefault="0049171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3330"/>
        <w:gridCol w:w="1800"/>
        <w:gridCol w:w="1098"/>
      </w:tblGrid>
      <w:tr w:rsidR="0049171C" w:rsidTr="0049171C">
        <w:tc>
          <w:tcPr>
            <w:tcW w:w="3348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Profit after tax of Quarter IV.2014</w:t>
            </w:r>
          </w:p>
        </w:tc>
        <w:tc>
          <w:tcPr>
            <w:tcW w:w="3330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profit after tax of Quarter IV.2015</w:t>
            </w:r>
          </w:p>
        </w:tc>
        <w:tc>
          <w:tcPr>
            <w:tcW w:w="1800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Difference</w:t>
            </w:r>
          </w:p>
        </w:tc>
        <w:tc>
          <w:tcPr>
            <w:tcW w:w="1098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Rate</w:t>
            </w:r>
          </w:p>
        </w:tc>
      </w:tr>
      <w:tr w:rsidR="0049171C" w:rsidTr="0049171C">
        <w:tc>
          <w:tcPr>
            <w:tcW w:w="3348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(52,348,866,271)</w:t>
            </w:r>
          </w:p>
        </w:tc>
        <w:tc>
          <w:tcPr>
            <w:tcW w:w="1800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(52,348,866,271)</w:t>
            </w:r>
          </w:p>
        </w:tc>
        <w:tc>
          <w:tcPr>
            <w:tcW w:w="1098" w:type="dxa"/>
          </w:tcPr>
          <w:p w:rsidR="0049171C" w:rsidRDefault="0049171C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9171C" w:rsidRDefault="0049171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49171C" w:rsidRDefault="0049171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Reason of the </w:t>
      </w:r>
      <w:hyperlink r:id="rId7" w:tooltip="Explanation for the difference in the profit after tax of Quarter IV.2015 year on year" w:history="1">
        <w:r w:rsidRPr="0049171C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 xml:space="preserve">difference in the </w:t>
        </w:r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 xml:space="preserve">consolidated </w:t>
        </w:r>
        <w:r w:rsidRPr="0049171C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shd w:val="clear" w:color="auto" w:fill="F8F7F7"/>
          </w:rPr>
          <w:t xml:space="preserve">profit after tax of Quarter IV.2015 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year on year:</w:t>
      </w:r>
    </w:p>
    <w:p w:rsidR="0049171C" w:rsidRDefault="0049171C" w:rsidP="00AC4C02">
      <w:pPr>
        <w:spacing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2015</w:t>
      </w:r>
      <w:r w:rsidR="00AC4C02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9171C">
        <w:rPr>
          <w:rFonts w:ascii="Arial" w:eastAsia="Times New Roman" w:hAnsi="Arial" w:cs="Arial"/>
          <w:color w:val="000000"/>
          <w:sz w:val="20"/>
          <w:szCs w:val="20"/>
        </w:rPr>
        <w:t>Underground Works Construction JSC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contributed </w:t>
      </w:r>
      <w:r w:rsidR="00C74E9E">
        <w:rPr>
          <w:rFonts w:ascii="Arial" w:eastAsia="Times New Roman" w:hAnsi="Arial" w:cs="Arial"/>
          <w:color w:val="000000"/>
          <w:sz w:val="20"/>
          <w:szCs w:val="20"/>
        </w:rPr>
        <w:t>capital to Pipe Jacking Company with the capital of over 51% so that until 2015</w:t>
      </w:r>
      <w:r w:rsidR="00AC4C02">
        <w:rPr>
          <w:rFonts w:ascii="Arial" w:eastAsia="Times New Roman" w:hAnsi="Arial" w:cs="Arial"/>
          <w:color w:val="000000"/>
          <w:sz w:val="20"/>
          <w:szCs w:val="20"/>
        </w:rPr>
        <w:t>, the Company could</w:t>
      </w:r>
      <w:r w:rsidR="00C74E9E">
        <w:rPr>
          <w:rFonts w:ascii="Arial" w:eastAsia="Times New Roman" w:hAnsi="Arial" w:cs="Arial"/>
          <w:color w:val="000000"/>
          <w:sz w:val="20"/>
          <w:szCs w:val="20"/>
        </w:rPr>
        <w:t xml:space="preserve"> announce the consolidated report between the parents company and its subsidiary.</w:t>
      </w:r>
      <w:r w:rsidR="00AC4C02">
        <w:rPr>
          <w:rFonts w:ascii="Arial" w:eastAsia="Times New Roman" w:hAnsi="Arial" w:cs="Arial"/>
          <w:color w:val="000000"/>
          <w:sz w:val="20"/>
          <w:szCs w:val="20"/>
        </w:rPr>
        <w:t xml:space="preserve"> In 2014, there was no consolidated report so </w:t>
      </w:r>
      <w:r w:rsidR="00AC4C02">
        <w:rPr>
          <w:rFonts w:ascii="Arial" w:eastAsia="Times New Roman" w:hAnsi="Arial" w:cs="Arial"/>
          <w:color w:val="000000"/>
          <w:sz w:val="20"/>
          <w:szCs w:val="20"/>
        </w:rPr>
        <w:t>Pro</w:t>
      </w:r>
      <w:r w:rsidR="00AC4C02">
        <w:rPr>
          <w:rFonts w:ascii="Arial" w:eastAsia="Times New Roman" w:hAnsi="Arial" w:cs="Arial"/>
          <w:color w:val="000000"/>
          <w:sz w:val="20"/>
          <w:szCs w:val="20"/>
        </w:rPr>
        <w:t>fit after tax of 2014 was 0.</w:t>
      </w:r>
    </w:p>
    <w:p w:rsidR="00C74E9E" w:rsidRPr="0049171C" w:rsidRDefault="00C74E9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C74E9E" w:rsidRPr="0049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1C"/>
    <w:rsid w:val="003C2393"/>
    <w:rsid w:val="0049171C"/>
    <w:rsid w:val="009E120F"/>
    <w:rsid w:val="00AC4C02"/>
    <w:rsid w:val="00C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71C"/>
    <w:rPr>
      <w:color w:val="0000FF"/>
      <w:u w:val="single"/>
    </w:rPr>
  </w:style>
  <w:style w:type="table" w:styleId="TableGrid">
    <w:name w:val="Table Grid"/>
    <w:basedOn w:val="TableNormal"/>
    <w:uiPriority w:val="59"/>
    <w:rsid w:val="0049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71C"/>
    <w:rPr>
      <w:color w:val="0000FF"/>
      <w:u w:val="single"/>
    </w:rPr>
  </w:style>
  <w:style w:type="table" w:styleId="TableGrid">
    <w:name w:val="Table Grid"/>
    <w:basedOn w:val="TableNormal"/>
    <w:uiPriority w:val="59"/>
    <w:rsid w:val="0049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Content&amp;_ThongTinCongBo_WAR_ThongTinCongBoportlet_INSTANCE_aO8s_news_id=2095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Content&amp;_ThongTinCongBo_WAR_ThongTinCongBoportlet_INSTANCE_aO8s_news_id=209532" TargetMode="External"/><Relationship Id="rId5" Type="http://schemas.openxmlformats.org/officeDocument/2006/relationships/hyperlink" Target="http://hnx.vn/en/web/guest/tin-niem-yet?p_auth=63sPSlIo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Content&amp;_ThongTinCongBo_WAR_ThongTinCongBoportlet_INSTANCE_aO8s_news_id=209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2016-03-08T07:47:00Z</dcterms:created>
  <dcterms:modified xsi:type="dcterms:W3CDTF">2016-03-08T08:57:00Z</dcterms:modified>
</cp:coreProperties>
</file>